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left"/>
        <w:rPr>
          <w:rFonts w:hint="default" w:eastAsia="宋体"/>
          <w:b/>
          <w:i/>
          <w:sz w:val="28"/>
          <w:lang w:val="en-US" w:eastAsia="zh-CN"/>
        </w:rPr>
      </w:pPr>
      <w:bookmarkStart w:id="0" w:name="_Toc503514521"/>
      <w:r>
        <w:rPr>
          <w:rFonts w:hint="eastAsia"/>
          <w:b/>
          <w:sz w:val="24"/>
          <w:szCs w:val="24"/>
        </w:rPr>
        <w:t>3GPP TSG-RAN WG3 #10</w:t>
      </w:r>
      <w:r>
        <w:rPr>
          <w:rFonts w:hint="eastAsia"/>
          <w:b/>
          <w:sz w:val="24"/>
          <w:szCs w:val="24"/>
          <w:lang w:val="en-US" w:eastAsia="zh-CN"/>
        </w:rPr>
        <w:t>7bis-e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1923</w:t>
      </w:r>
    </w:p>
    <w:p>
      <w:pPr>
        <w:pStyle w:val="81"/>
        <w:jc w:val="left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 xml:space="preserve">20-30 April 2020 </w:t>
      </w:r>
    </w:p>
    <w:p>
      <w:pPr>
        <w:pStyle w:val="81"/>
        <w:jc w:val="left"/>
        <w:outlineLvl w:val="0"/>
        <w:rPr>
          <w:rFonts w:hint="default"/>
          <w:b/>
          <w:sz w:val="24"/>
          <w:lang w:val="en-US" w:eastAsia="zh-CN"/>
        </w:rPr>
      </w:pPr>
      <w:bookmarkStart w:id="3" w:name="_GoBack"/>
      <w:bookmarkEnd w:id="3"/>
      <w:r>
        <w:rPr>
          <w:rFonts w:hint="eastAsia"/>
          <w:b/>
          <w:sz w:val="24"/>
          <w:lang w:val="en-US" w:eastAsia="zh-CN"/>
        </w:rPr>
        <w:t>E-Meeting</w:t>
      </w:r>
    </w:p>
    <w:p>
      <w:pPr>
        <w:pStyle w:val="84"/>
        <w:jc w:val="both"/>
        <w:rPr>
          <w:highlight w:val="yellow"/>
        </w:rPr>
      </w:pPr>
    </w:p>
    <w:p>
      <w:pPr>
        <w:tabs>
          <w:tab w:val="left" w:pos="1980"/>
        </w:tabs>
        <w:jc w:val="left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 w:eastAsia="宋体"/>
          <w:sz w:val="24"/>
          <w:lang w:val="en-US" w:eastAsia="zh-CN"/>
        </w:rPr>
        <w:t>16.7</w:t>
      </w:r>
      <w:r>
        <w:rPr>
          <w:rFonts w:hint="eastAsia" w:ascii="Arial" w:hAnsi="Arial"/>
          <w:sz w:val="24"/>
          <w:lang w:val="en-US" w:eastAsia="zh-CN"/>
        </w:rPr>
        <w:t xml:space="preserve"> </w:t>
      </w:r>
    </w:p>
    <w:p>
      <w:pPr>
        <w:tabs>
          <w:tab w:val="left" w:pos="1985"/>
        </w:tabs>
        <w:jc w:val="left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jc w:val="left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 xml:space="preserve">Impact of NPN on </w:t>
      </w:r>
      <w:r>
        <w:rPr>
          <w:rFonts w:hint="eastAsia" w:ascii="Arial" w:hAnsi="Arial" w:eastAsia="宋体"/>
          <w:sz w:val="24"/>
          <w:lang w:val="en-US" w:eastAsia="zh-CN"/>
        </w:rPr>
        <w:t>E1</w:t>
      </w:r>
      <w:r>
        <w:rPr>
          <w:rFonts w:hint="eastAsia" w:ascii="Arial" w:hAnsi="Arial"/>
          <w:sz w:val="24"/>
          <w:lang w:val="en-US" w:eastAsia="zh-CN"/>
        </w:rPr>
        <w:t xml:space="preserve">  </w:t>
      </w:r>
    </w:p>
    <w:p>
      <w:pPr>
        <w:tabs>
          <w:tab w:val="left" w:pos="1985"/>
        </w:tabs>
        <w:ind w:left="1980" w:hanging="1980"/>
        <w:jc w:val="left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2"/>
        <w:jc w:val="left"/>
      </w:pPr>
      <w:r>
        <w:rPr>
          <w:rFonts w:hint="eastAsia" w:eastAsia="宋体"/>
          <w:lang w:val="en-US" w:eastAsia="zh-CN"/>
        </w:rPr>
        <w:t xml:space="preserve">1 </w:t>
      </w:r>
      <w:r>
        <w:t>Introduction</w:t>
      </w:r>
    </w:p>
    <w:p>
      <w:pPr>
        <w:jc w:val="left"/>
        <w:rPr>
          <w:rFonts w:hint="default"/>
          <w:sz w:val="21"/>
          <w:szCs w:val="22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In the last RAN3 #107bis-emeeting,</w:t>
      </w:r>
      <w:r>
        <w:rPr>
          <w:rFonts w:hint="eastAsia"/>
          <w:sz w:val="21"/>
          <w:szCs w:val="22"/>
          <w:lang w:val="en-US" w:eastAsia="zh-CN"/>
        </w:rPr>
        <w:t xml:space="preserve"> it was proposed to lay aside the UE Context related signaling discussion and PNI-NPN aspects need to be further discussed.  In this contribution, we further discuss the left issue of impact of NPN on E1 and provide the corresponding TP in [1] based on the BLCR[2] for TS38.463.</w:t>
      </w:r>
    </w:p>
    <w:p>
      <w:pPr>
        <w:pStyle w:val="2"/>
        <w:jc w:val="left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2 Discussion</w:t>
      </w:r>
    </w:p>
    <w:p>
      <w:pPr>
        <w:pStyle w:val="3"/>
        <w:numPr>
          <w:ilvl w:val="1"/>
          <w:numId w:val="1"/>
        </w:numPr>
        <w:jc w:val="both"/>
      </w:pPr>
      <w:r>
        <w:rPr>
          <w:rFonts w:hint="eastAsia" w:eastAsia="宋体"/>
          <w:lang w:val="en-US" w:eastAsia="zh-CN"/>
        </w:rPr>
        <w:t xml:space="preserve">None </w:t>
      </w:r>
      <w:r>
        <w:rPr>
          <w:rFonts w:hint="eastAsia"/>
        </w:rPr>
        <w:t>UE associated Message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 xml:space="preserve">In the last RAN3 #107bis-emeeting, </w:t>
      </w:r>
      <w:r>
        <w:rPr>
          <w:sz w:val="21"/>
          <w:szCs w:val="21"/>
        </w:rPr>
        <w:t xml:space="preserve">PNI-NPN aspects </w:t>
      </w:r>
      <w:r>
        <w:rPr>
          <w:rFonts w:hint="eastAsia" w:eastAsia="宋体"/>
          <w:sz w:val="21"/>
          <w:szCs w:val="21"/>
          <w:lang w:val="en-US" w:eastAsia="zh-CN"/>
        </w:rPr>
        <w:t xml:space="preserve">and SNPN aspects in non-UE associated message </w:t>
      </w:r>
      <w:r>
        <w:rPr>
          <w:sz w:val="21"/>
          <w:szCs w:val="21"/>
        </w:rPr>
        <w:t>need to be further discussed</w:t>
      </w:r>
      <w:r>
        <w:rPr>
          <w:rFonts w:hint="eastAsia" w:eastAsia="宋体"/>
          <w:sz w:val="21"/>
          <w:szCs w:val="21"/>
          <w:lang w:val="en-US" w:eastAsia="zh-CN"/>
        </w:rPr>
        <w:t>.</w:t>
      </w:r>
    </w:p>
    <w:p>
      <w:pPr>
        <w:jc w:val="left"/>
        <w:rPr>
          <w:rFonts w:hint="eastAsia"/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>It is not precluded that  one cell can be shared for multiple SNPNs in the case of network sharing, the multiple NIDs may be configured for one PLMN at CU-UP. Furthermore, gNB-CU-UP may only support some special CAGs, so the gNB-CU-UP also needs to send a list of supported CAGs per PLMN configured by the gNB-CU-UP to the gNB-CU-CP.</w:t>
      </w:r>
    </w:p>
    <w:p>
      <w:pPr>
        <w:jc w:val="left"/>
        <w:rPr>
          <w:rFonts w:hint="eastAsia"/>
          <w:sz w:val="21"/>
          <w:szCs w:val="22"/>
          <w:lang w:val="en-US" w:eastAsia="zh-CN"/>
        </w:rPr>
      </w:pPr>
      <w:r>
        <w:rPr>
          <w:rFonts w:hint="eastAsia"/>
          <w:b/>
          <w:bCs/>
          <w:sz w:val="21"/>
          <w:szCs w:val="22"/>
          <w:lang w:val="en-US" w:eastAsia="zh-CN"/>
        </w:rPr>
        <w:t>Proposal 1:  The gNB-CU-UP shall provide the supported NIDs/CAG IDs per PLMN to gNB-CU-CP via E1AP</w:t>
      </w:r>
      <w:r>
        <w:rPr>
          <w:rFonts w:hint="eastAsia"/>
          <w:sz w:val="21"/>
          <w:szCs w:val="22"/>
          <w:lang w:val="en-US" w:eastAsia="zh-CN"/>
        </w:rPr>
        <w:t>.</w:t>
      </w:r>
    </w:p>
    <w:p>
      <w:pPr>
        <w:jc w:val="left"/>
        <w:rPr>
          <w:rFonts w:hint="eastAsia"/>
          <w:sz w:val="21"/>
          <w:szCs w:val="22"/>
          <w:lang w:val="en-US" w:eastAsia="zh-CN"/>
        </w:rPr>
      </w:pPr>
    </w:p>
    <w:p>
      <w:pPr>
        <w:jc w:val="left"/>
        <w:rPr>
          <w:rFonts w:hint="default"/>
          <w:sz w:val="21"/>
          <w:szCs w:val="22"/>
          <w:highlight w:val="none"/>
          <w:lang w:val="en-US" w:eastAsia="zh-CN"/>
        </w:rPr>
      </w:pPr>
      <w:r>
        <w:rPr>
          <w:rFonts w:hint="eastAsia"/>
          <w:sz w:val="21"/>
          <w:szCs w:val="22"/>
          <w:highlight w:val="none"/>
          <w:lang w:val="en-US" w:eastAsia="zh-CN"/>
        </w:rPr>
        <w:t>Some of the received NIDs and CAG IDs from gNB-CU-UP may not be recognized by the gNB-CU-CP, mainly in the corner case of inconsistent or incorrect OAM configuration, the  gNB-CU-CP shall response a E1 SETUP FAILURE with a cause value,i.e., NID not supported, CAG not supported.</w:t>
      </w:r>
    </w:p>
    <w:p>
      <w:pPr>
        <w:jc w:val="left"/>
        <w:rPr>
          <w:rFonts w:hint="eastAsia"/>
          <w:b/>
          <w:bCs/>
          <w:sz w:val="21"/>
          <w:szCs w:val="22"/>
          <w:lang w:val="en-US" w:eastAsia="zh-CN"/>
        </w:rPr>
      </w:pPr>
      <w:r>
        <w:rPr>
          <w:rFonts w:hint="eastAsia"/>
          <w:b/>
          <w:bCs/>
          <w:sz w:val="21"/>
          <w:szCs w:val="22"/>
          <w:lang w:val="en-US" w:eastAsia="zh-CN"/>
        </w:rPr>
        <w:t xml:space="preserve">Proposal 2:  Add new E1 cause value i.e., </w:t>
      </w:r>
      <w:r>
        <w:rPr>
          <w:rFonts w:hint="default"/>
          <w:b/>
          <w:bCs/>
          <w:sz w:val="21"/>
          <w:szCs w:val="22"/>
          <w:lang w:val="en-US" w:eastAsia="zh-CN"/>
        </w:rPr>
        <w:t>“</w:t>
      </w:r>
      <w:r>
        <w:rPr>
          <w:rFonts w:hint="eastAsia"/>
          <w:b/>
          <w:bCs/>
          <w:sz w:val="21"/>
          <w:szCs w:val="22"/>
          <w:lang w:val="en-US" w:eastAsia="zh-CN"/>
        </w:rPr>
        <w:t>NID not supported</w:t>
      </w:r>
      <w:r>
        <w:rPr>
          <w:rFonts w:hint="default"/>
          <w:b/>
          <w:bCs/>
          <w:sz w:val="21"/>
          <w:szCs w:val="22"/>
          <w:lang w:val="en-US" w:eastAsia="zh-CN"/>
        </w:rPr>
        <w:t>”</w:t>
      </w:r>
      <w:r>
        <w:rPr>
          <w:rFonts w:hint="eastAsia"/>
          <w:b/>
          <w:bCs/>
          <w:sz w:val="21"/>
          <w:szCs w:val="22"/>
          <w:lang w:val="en-US" w:eastAsia="zh-CN"/>
        </w:rPr>
        <w:t xml:space="preserve">, </w:t>
      </w:r>
      <w:r>
        <w:rPr>
          <w:rFonts w:hint="default"/>
          <w:b/>
          <w:bCs/>
          <w:sz w:val="21"/>
          <w:szCs w:val="22"/>
          <w:lang w:val="en-US" w:eastAsia="zh-CN"/>
        </w:rPr>
        <w:t>“</w:t>
      </w:r>
      <w:r>
        <w:rPr>
          <w:rFonts w:hint="eastAsia"/>
          <w:b/>
          <w:bCs/>
          <w:sz w:val="21"/>
          <w:szCs w:val="22"/>
          <w:lang w:val="en-US" w:eastAsia="zh-CN"/>
        </w:rPr>
        <w:t>CAG not supported</w:t>
      </w:r>
      <w:r>
        <w:rPr>
          <w:rFonts w:hint="default"/>
          <w:b/>
          <w:bCs/>
          <w:sz w:val="21"/>
          <w:szCs w:val="22"/>
          <w:lang w:val="en-US" w:eastAsia="zh-CN"/>
        </w:rPr>
        <w:t>”</w:t>
      </w:r>
      <w:r>
        <w:rPr>
          <w:rFonts w:hint="eastAsia"/>
          <w:b/>
          <w:bCs/>
          <w:sz w:val="21"/>
          <w:szCs w:val="22"/>
          <w:lang w:val="en-US" w:eastAsia="zh-CN"/>
        </w:rPr>
        <w:t xml:space="preserve"> for E1 setup failure case.</w:t>
      </w:r>
    </w:p>
    <w:p>
      <w:pPr>
        <w:jc w:val="left"/>
        <w:rPr>
          <w:rFonts w:hint="default"/>
          <w:b/>
          <w:bCs/>
          <w:sz w:val="21"/>
          <w:szCs w:val="22"/>
          <w:lang w:val="en-US" w:eastAsia="zh-CN"/>
        </w:rPr>
      </w:pPr>
    </w:p>
    <w:p>
      <w:pPr>
        <w:pStyle w:val="3"/>
        <w:numPr>
          <w:ilvl w:val="0"/>
          <w:numId w:val="0"/>
        </w:numPr>
        <w:jc w:val="both"/>
        <w:rPr>
          <w:rFonts w:hint="default" w:eastAsia="宋体"/>
          <w:lang w:val="en-US" w:eastAsia="zh-CN"/>
        </w:rPr>
      </w:pPr>
      <w:r>
        <w:t xml:space="preserve">2.2 </w:t>
      </w:r>
      <w:r>
        <w:rPr>
          <w:rFonts w:hint="eastAsia"/>
        </w:rPr>
        <w:t xml:space="preserve">UE associated </w:t>
      </w:r>
      <w:r>
        <w:rPr>
          <w:rFonts w:hint="eastAsia" w:eastAsia="宋体"/>
          <w:lang w:val="en-US" w:eastAsia="zh-CN"/>
        </w:rPr>
        <w:t>Message</w:t>
      </w:r>
    </w:p>
    <w:p>
      <w:pPr>
        <w:jc w:val="left"/>
        <w:rPr>
          <w:rFonts w:hint="default"/>
          <w:strike w:val="0"/>
          <w:dstrike w:val="0"/>
          <w:sz w:val="21"/>
          <w:szCs w:val="22"/>
          <w:lang w:val="en-US" w:eastAsia="zh-CN"/>
        </w:rPr>
      </w:pPr>
      <w:r>
        <w:rPr>
          <w:rFonts w:hint="eastAsia"/>
          <w:strike w:val="0"/>
          <w:dstrike w:val="0"/>
          <w:sz w:val="21"/>
          <w:szCs w:val="22"/>
          <w:lang w:val="en-US" w:eastAsia="zh-CN"/>
        </w:rPr>
        <w:t>The multiple NIDs may be configured for one PLMN at CU-UP, so the t</w:t>
      </w:r>
      <w:r>
        <w:rPr>
          <w:rFonts w:hint="default"/>
          <w:strike w:val="0"/>
          <w:dstrike w:val="0"/>
          <w:sz w:val="21"/>
          <w:szCs w:val="22"/>
          <w:lang w:val="en-US" w:eastAsia="zh-CN"/>
        </w:rPr>
        <w:t>he NID needs to be provided to gNB-CU-UP to identify the serving SNPN of the UE</w:t>
      </w:r>
      <w:r>
        <w:rPr>
          <w:rFonts w:hint="eastAsia"/>
          <w:strike w:val="0"/>
          <w:dstrike w:val="0"/>
          <w:sz w:val="21"/>
          <w:szCs w:val="22"/>
          <w:lang w:val="en-US" w:eastAsia="zh-CN"/>
        </w:rPr>
        <w:t xml:space="preserve"> during the UE context setup procedure. In addition, different NIDs require different scheduling mechanism, so it</w:t>
      </w:r>
      <w:r>
        <w:rPr>
          <w:rFonts w:hint="default"/>
          <w:strike w:val="0"/>
          <w:dstrike w:val="0"/>
          <w:sz w:val="21"/>
          <w:szCs w:val="22"/>
          <w:lang w:val="en-US" w:eastAsia="zh-CN"/>
        </w:rPr>
        <w:t>’</w:t>
      </w:r>
      <w:r>
        <w:rPr>
          <w:rFonts w:hint="eastAsia"/>
          <w:strike w:val="0"/>
          <w:dstrike w:val="0"/>
          <w:sz w:val="21"/>
          <w:szCs w:val="22"/>
          <w:lang w:val="en-US" w:eastAsia="zh-CN"/>
        </w:rPr>
        <w:t>s beneficial that the gNB-CU-CP provide the serving NID to the gNB-CU-UP during the UE context setup procedure.</w:t>
      </w:r>
    </w:p>
    <w:p>
      <w:pPr>
        <w:jc w:val="left"/>
        <w:rPr>
          <w:rFonts w:hint="eastAsia"/>
          <w:b/>
          <w:bCs/>
          <w:strike w:val="0"/>
          <w:dstrike w:val="0"/>
          <w:sz w:val="21"/>
          <w:szCs w:val="22"/>
          <w:lang w:val="en-US" w:eastAsia="zh-CN"/>
        </w:rPr>
      </w:pPr>
      <w:r>
        <w:rPr>
          <w:rFonts w:hint="eastAsia"/>
          <w:b/>
          <w:bCs/>
          <w:strike w:val="0"/>
          <w:dstrike w:val="0"/>
          <w:sz w:val="21"/>
          <w:szCs w:val="22"/>
          <w:lang w:val="en-US" w:eastAsia="zh-CN"/>
        </w:rPr>
        <w:t>Proposal 3: The gNB-CU-CP shall provide the serving NID to the gNB-CU-UP during the UE context setup procedure via E1AP.</w:t>
      </w:r>
    </w:p>
    <w:p>
      <w:pPr>
        <w:jc w:val="both"/>
        <w:rPr>
          <w:rFonts w:hint="eastAsia" w:eastAsia="宋体"/>
          <w:b w:val="0"/>
          <w:bCs w:val="0"/>
          <w:sz w:val="21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  <w:t>In [3], we indicate that a</w:t>
      </w:r>
      <w:r>
        <w:rPr>
          <w:rFonts w:hint="eastAsia"/>
          <w:sz w:val="21"/>
          <w:szCs w:val="22"/>
          <w:lang w:val="en-US" w:eastAsia="zh-CN"/>
        </w:rPr>
        <w:t>t the latest RAN2#109 e-meeting,  RAN2 sent a LS R2-2002417 [4] on manual CAG ID selection to CT1, SA1, SA2. If SA2 agree with UE shall stay on cells supporting the manually selected CAG ID in RRC_CONNECTED state, the RAN node shall be aware of the manual selected CAG ID. Therefore, it needs to wait SA2</w:t>
      </w:r>
      <w:r>
        <w:rPr>
          <w:rFonts w:hint="default"/>
          <w:sz w:val="21"/>
          <w:szCs w:val="22"/>
          <w:lang w:val="en-US" w:eastAsia="zh-CN"/>
        </w:rPr>
        <w:t>’</w:t>
      </w:r>
      <w:r>
        <w:rPr>
          <w:rFonts w:hint="eastAsia"/>
          <w:sz w:val="21"/>
          <w:szCs w:val="22"/>
          <w:lang w:val="en-US" w:eastAsia="zh-CN"/>
        </w:rPr>
        <w:t xml:space="preserve">s answer to decide whether and how the RAN node can retrieve the manual selected CAG ID, and add an editor note that it is FFS </w:t>
      </w:r>
      <w:r>
        <w:rPr>
          <w:rFonts w:hint="eastAsia" w:eastAsia="宋体"/>
          <w:b w:val="0"/>
          <w:bCs w:val="0"/>
          <w:sz w:val="21"/>
          <w:szCs w:val="22"/>
          <w:lang w:val="en-US" w:eastAsia="zh-CN"/>
        </w:rPr>
        <w:t>whether and how the RAN node be aware of the manual selected CAG ID and whether the RAN network shall keep the CAG ID manually selected unchanged during the mobility.</w:t>
      </w:r>
    </w:p>
    <w:p>
      <w:pPr>
        <w:jc w:val="left"/>
        <w:rPr>
          <w:rFonts w:hint="eastAsia"/>
          <w:b/>
          <w:bCs/>
          <w:strike w:val="0"/>
          <w:dstrike w:val="0"/>
          <w:sz w:val="21"/>
          <w:szCs w:val="22"/>
          <w:lang w:val="en-US" w:eastAsia="zh-CN"/>
        </w:rPr>
      </w:pPr>
      <w:r>
        <w:rPr>
          <w:rFonts w:hint="eastAsia" w:eastAsia="宋体"/>
          <w:b/>
          <w:bCs/>
          <w:sz w:val="21"/>
          <w:szCs w:val="22"/>
          <w:lang w:val="en-US" w:eastAsia="zh-CN"/>
        </w:rPr>
        <w:t>Proposal 4:  Add an editor note that it is FFS whether the serving CAG ID should be indicated in the UE Context Setup procedure via E1AP.</w:t>
      </w:r>
    </w:p>
    <w:p>
      <w:pPr>
        <w:jc w:val="left"/>
        <w:rPr>
          <w:rFonts w:hint="default"/>
          <w:b/>
          <w:bCs/>
          <w:sz w:val="21"/>
          <w:szCs w:val="22"/>
          <w:lang w:val="en-US" w:eastAsia="zh-CN"/>
        </w:rPr>
      </w:pPr>
    </w:p>
    <w:p>
      <w:pPr>
        <w:pStyle w:val="2"/>
        <w:rPr>
          <w:lang w:val="en-US"/>
        </w:rPr>
      </w:pPr>
      <w:r>
        <w:rPr>
          <w:rFonts w:hint="eastAsia"/>
          <w:lang w:val="en-US" w:eastAsia="zh-CN"/>
        </w:rPr>
        <w:t xml:space="preserve">3 </w:t>
      </w:r>
      <w:r>
        <w:rPr>
          <w:rFonts w:hint="eastAsia" w:eastAsia="宋体"/>
          <w:lang w:val="en-US" w:eastAsia="zh-CN"/>
        </w:rPr>
        <w:t>Conclusions</w:t>
      </w:r>
    </w:p>
    <w:p>
      <w:pPr>
        <w:jc w:val="left"/>
        <w:rPr>
          <w:rFonts w:hint="eastAsia"/>
          <w:sz w:val="21"/>
          <w:szCs w:val="22"/>
          <w:lang w:val="en-US" w:eastAsia="zh-CN"/>
        </w:rPr>
      </w:pPr>
      <w:r>
        <w:rPr>
          <w:rFonts w:hint="eastAsia"/>
          <w:b/>
          <w:bCs/>
          <w:sz w:val="21"/>
          <w:szCs w:val="22"/>
          <w:lang w:val="en-US" w:eastAsia="zh-CN"/>
        </w:rPr>
        <w:t>Proposal 1:  The gNB-CU-UP shall provide the supported NIDs/CAG IDs per PLMN to gNB-CU-CP via E1AP</w:t>
      </w:r>
      <w:r>
        <w:rPr>
          <w:rFonts w:hint="eastAsia"/>
          <w:sz w:val="21"/>
          <w:szCs w:val="22"/>
          <w:lang w:val="en-US" w:eastAsia="zh-CN"/>
        </w:rPr>
        <w:t>.</w:t>
      </w:r>
    </w:p>
    <w:p>
      <w:pPr>
        <w:jc w:val="left"/>
        <w:rPr>
          <w:rFonts w:hint="eastAsia"/>
          <w:b/>
          <w:bCs/>
          <w:sz w:val="21"/>
          <w:szCs w:val="22"/>
          <w:lang w:val="en-US" w:eastAsia="zh-CN"/>
        </w:rPr>
      </w:pPr>
      <w:r>
        <w:rPr>
          <w:rFonts w:hint="eastAsia"/>
          <w:b/>
          <w:bCs/>
          <w:sz w:val="21"/>
          <w:szCs w:val="22"/>
          <w:lang w:val="en-US" w:eastAsia="zh-CN"/>
        </w:rPr>
        <w:t xml:space="preserve">Proposal 2:  Add new E1 cause value i.e., </w:t>
      </w:r>
      <w:r>
        <w:rPr>
          <w:rFonts w:hint="default"/>
          <w:b/>
          <w:bCs/>
          <w:sz w:val="21"/>
          <w:szCs w:val="22"/>
          <w:lang w:val="en-US" w:eastAsia="zh-CN"/>
        </w:rPr>
        <w:t>“</w:t>
      </w:r>
      <w:r>
        <w:rPr>
          <w:rFonts w:hint="eastAsia"/>
          <w:b/>
          <w:bCs/>
          <w:sz w:val="21"/>
          <w:szCs w:val="22"/>
          <w:lang w:val="en-US" w:eastAsia="zh-CN"/>
        </w:rPr>
        <w:t>NID not supported</w:t>
      </w:r>
      <w:r>
        <w:rPr>
          <w:rFonts w:hint="default"/>
          <w:b/>
          <w:bCs/>
          <w:sz w:val="21"/>
          <w:szCs w:val="22"/>
          <w:lang w:val="en-US" w:eastAsia="zh-CN"/>
        </w:rPr>
        <w:t>”</w:t>
      </w:r>
      <w:r>
        <w:rPr>
          <w:rFonts w:hint="eastAsia"/>
          <w:b/>
          <w:bCs/>
          <w:sz w:val="21"/>
          <w:szCs w:val="22"/>
          <w:lang w:val="en-US" w:eastAsia="zh-CN"/>
        </w:rPr>
        <w:t xml:space="preserve">, </w:t>
      </w:r>
      <w:r>
        <w:rPr>
          <w:rFonts w:hint="default"/>
          <w:b/>
          <w:bCs/>
          <w:sz w:val="21"/>
          <w:szCs w:val="22"/>
          <w:lang w:val="en-US" w:eastAsia="zh-CN"/>
        </w:rPr>
        <w:t>“</w:t>
      </w:r>
      <w:r>
        <w:rPr>
          <w:rFonts w:hint="eastAsia"/>
          <w:b/>
          <w:bCs/>
          <w:sz w:val="21"/>
          <w:szCs w:val="22"/>
          <w:lang w:val="en-US" w:eastAsia="zh-CN"/>
        </w:rPr>
        <w:t>CAG not supported</w:t>
      </w:r>
      <w:r>
        <w:rPr>
          <w:rFonts w:hint="default"/>
          <w:b/>
          <w:bCs/>
          <w:sz w:val="21"/>
          <w:szCs w:val="22"/>
          <w:lang w:val="en-US" w:eastAsia="zh-CN"/>
        </w:rPr>
        <w:t>”</w:t>
      </w:r>
      <w:r>
        <w:rPr>
          <w:rFonts w:hint="eastAsia"/>
          <w:b/>
          <w:bCs/>
          <w:sz w:val="21"/>
          <w:szCs w:val="22"/>
          <w:lang w:val="en-US" w:eastAsia="zh-CN"/>
        </w:rPr>
        <w:t xml:space="preserve"> for E1 setup failure case.</w:t>
      </w:r>
    </w:p>
    <w:p>
      <w:pPr>
        <w:jc w:val="left"/>
        <w:rPr>
          <w:rFonts w:hint="eastAsia"/>
          <w:b/>
          <w:bCs/>
          <w:strike w:val="0"/>
          <w:dstrike w:val="0"/>
          <w:sz w:val="21"/>
          <w:szCs w:val="22"/>
          <w:lang w:val="en-US" w:eastAsia="zh-CN"/>
        </w:rPr>
      </w:pPr>
      <w:r>
        <w:rPr>
          <w:rFonts w:hint="eastAsia"/>
          <w:b/>
          <w:bCs/>
          <w:sz w:val="21"/>
          <w:szCs w:val="22"/>
          <w:lang w:val="en-US" w:eastAsia="zh-CN"/>
        </w:rPr>
        <w:t xml:space="preserve">Proposal 3:  </w:t>
      </w:r>
      <w:r>
        <w:rPr>
          <w:rFonts w:hint="eastAsia"/>
          <w:b/>
          <w:bCs/>
          <w:strike w:val="0"/>
          <w:dstrike w:val="0"/>
          <w:sz w:val="21"/>
          <w:szCs w:val="22"/>
          <w:lang w:val="en-US" w:eastAsia="zh-CN"/>
        </w:rPr>
        <w:t>The gNB-CU-CP shall provide the serving NID to the gNB-CU-UP during the UE context setup procedure via E1AP.</w:t>
      </w:r>
    </w:p>
    <w:p>
      <w:pPr>
        <w:jc w:val="left"/>
        <w:rPr>
          <w:rFonts w:hint="eastAsia"/>
          <w:b/>
          <w:bCs/>
          <w:strike w:val="0"/>
          <w:dstrike w:val="0"/>
          <w:sz w:val="21"/>
          <w:szCs w:val="22"/>
          <w:lang w:val="en-US" w:eastAsia="zh-CN"/>
        </w:rPr>
      </w:pPr>
      <w:r>
        <w:rPr>
          <w:rFonts w:hint="eastAsia" w:eastAsia="宋体"/>
          <w:b/>
          <w:bCs/>
          <w:sz w:val="21"/>
          <w:szCs w:val="22"/>
          <w:lang w:val="en-US" w:eastAsia="zh-CN"/>
        </w:rPr>
        <w:t>Proposal 4:  Add an editor note that it is FFS whether the serving CAG ID should be indicated in the UE Context Setup procedure via E1AP.</w:t>
      </w:r>
    </w:p>
    <w:bookmarkEnd w:id="0"/>
    <w:p>
      <w:pPr>
        <w:pStyle w:val="2"/>
        <w:rPr>
          <w:lang w:val="en-US"/>
        </w:rPr>
      </w:pPr>
      <w:r>
        <w:rPr>
          <w:rFonts w:hint="eastAsia" w:eastAsia="宋体"/>
          <w:lang w:val="en-US" w:eastAsia="zh-CN"/>
        </w:rPr>
        <w:t xml:space="preserve">4 </w:t>
      </w:r>
      <w:r>
        <w:rPr>
          <w:lang w:val="en-US"/>
        </w:rPr>
        <w:t>References</w:t>
      </w:r>
    </w:p>
    <w:p>
      <w:pPr>
        <w:numPr>
          <w:ilvl w:val="0"/>
          <w:numId w:val="2"/>
        </w:numPr>
        <w:rPr>
          <w:lang w:val="en-US" w:eastAsia="zh-CN"/>
        </w:rPr>
      </w:pPr>
      <w:r>
        <w:rPr>
          <w:rFonts w:hint="eastAsia"/>
          <w:lang w:val="en-US" w:eastAsia="zh-CN"/>
        </w:rPr>
        <w:t>R3-201924, TP for NPN support to TS38.463,  ZTE</w:t>
      </w:r>
    </w:p>
    <w:p>
      <w:pPr>
        <w:numPr>
          <w:ilvl w:val="0"/>
          <w:numId w:val="2"/>
        </w:numPr>
      </w:pPr>
      <w:r>
        <w:rPr>
          <w:rFonts w:hint="eastAsia"/>
          <w:lang w:val="en-US" w:eastAsia="zh-CN"/>
        </w:rPr>
        <w:t>R3-201174,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BLCR for TS38.463 on NPN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ZTE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R3-201922, Consideration on selected CAG ID, ZTE</w:t>
      </w:r>
    </w:p>
    <w:p>
      <w:pPr>
        <w:numPr>
          <w:ilvl w:val="0"/>
          <w:numId w:val="2"/>
        </w:numPr>
      </w:pPr>
      <w:r>
        <w:rPr>
          <w:rFonts w:hint="default" w:ascii="Times New Roman" w:hAnsi="Times New Roman" w:eastAsia="宋体" w:cs="Times New Roman"/>
          <w:bCs/>
          <w:lang w:val="en-US" w:eastAsia="zh-CN"/>
        </w:rPr>
        <w:t>R2-2002417, LS on Manual CAG ID selection and granularity of UAC parameters for PNI-NPNs, TSG RAN WG2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134" w:left="1417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2FA05"/>
    <w:multiLevelType w:val="singleLevel"/>
    <w:tmpl w:val="AFC2FA0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E9B5491"/>
    <w:multiLevelType w:val="multilevel"/>
    <w:tmpl w:val="1E9B5491"/>
    <w:lvl w:ilvl="0" w:tentative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4DF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08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8F7248"/>
    <w:rsid w:val="009148DE"/>
    <w:rsid w:val="00941E30"/>
    <w:rsid w:val="009777D9"/>
    <w:rsid w:val="00991B88"/>
    <w:rsid w:val="009A5753"/>
    <w:rsid w:val="009A579D"/>
    <w:rsid w:val="009E3297"/>
    <w:rsid w:val="009F44EF"/>
    <w:rsid w:val="009F734F"/>
    <w:rsid w:val="00A246B6"/>
    <w:rsid w:val="00A25A08"/>
    <w:rsid w:val="00A47E70"/>
    <w:rsid w:val="00A50CF0"/>
    <w:rsid w:val="00A7671C"/>
    <w:rsid w:val="00A81B89"/>
    <w:rsid w:val="00AA2CBC"/>
    <w:rsid w:val="00AC5820"/>
    <w:rsid w:val="00AD1CD8"/>
    <w:rsid w:val="00B258BB"/>
    <w:rsid w:val="00B67B97"/>
    <w:rsid w:val="00B8052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C67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1430CF6"/>
    <w:rsid w:val="01A769BE"/>
    <w:rsid w:val="01D42E54"/>
    <w:rsid w:val="01E90DD7"/>
    <w:rsid w:val="0203196A"/>
    <w:rsid w:val="02280562"/>
    <w:rsid w:val="028E31DC"/>
    <w:rsid w:val="029A117B"/>
    <w:rsid w:val="02D06A69"/>
    <w:rsid w:val="02D62E96"/>
    <w:rsid w:val="02E474A2"/>
    <w:rsid w:val="03136503"/>
    <w:rsid w:val="0357448C"/>
    <w:rsid w:val="03860CFE"/>
    <w:rsid w:val="03997478"/>
    <w:rsid w:val="03A43393"/>
    <w:rsid w:val="03E9542E"/>
    <w:rsid w:val="03F9563E"/>
    <w:rsid w:val="04471F81"/>
    <w:rsid w:val="0478358B"/>
    <w:rsid w:val="04987B67"/>
    <w:rsid w:val="04B54FE4"/>
    <w:rsid w:val="04E715AF"/>
    <w:rsid w:val="05072224"/>
    <w:rsid w:val="05187811"/>
    <w:rsid w:val="05257D35"/>
    <w:rsid w:val="05257D94"/>
    <w:rsid w:val="053843F3"/>
    <w:rsid w:val="057A5063"/>
    <w:rsid w:val="059B56C3"/>
    <w:rsid w:val="05B30409"/>
    <w:rsid w:val="05BA22DF"/>
    <w:rsid w:val="060A3235"/>
    <w:rsid w:val="060F67DC"/>
    <w:rsid w:val="06980ED9"/>
    <w:rsid w:val="06E148BF"/>
    <w:rsid w:val="071B088B"/>
    <w:rsid w:val="07822854"/>
    <w:rsid w:val="08272271"/>
    <w:rsid w:val="08535456"/>
    <w:rsid w:val="08776E24"/>
    <w:rsid w:val="088D690D"/>
    <w:rsid w:val="08A919A6"/>
    <w:rsid w:val="08FA38CA"/>
    <w:rsid w:val="090E2039"/>
    <w:rsid w:val="096E42F3"/>
    <w:rsid w:val="097A3796"/>
    <w:rsid w:val="0A1C18BF"/>
    <w:rsid w:val="0A5207DA"/>
    <w:rsid w:val="0A96466D"/>
    <w:rsid w:val="0B8536F6"/>
    <w:rsid w:val="0BD20EF3"/>
    <w:rsid w:val="0C053C35"/>
    <w:rsid w:val="0C790789"/>
    <w:rsid w:val="0CC109D3"/>
    <w:rsid w:val="0CD003BF"/>
    <w:rsid w:val="0D0A047B"/>
    <w:rsid w:val="0D2D0833"/>
    <w:rsid w:val="0D2F001A"/>
    <w:rsid w:val="0D385790"/>
    <w:rsid w:val="0D697831"/>
    <w:rsid w:val="0DC200A7"/>
    <w:rsid w:val="0DC47042"/>
    <w:rsid w:val="0DFC096E"/>
    <w:rsid w:val="0E025387"/>
    <w:rsid w:val="0E292F44"/>
    <w:rsid w:val="0E306CD5"/>
    <w:rsid w:val="0E5B3E59"/>
    <w:rsid w:val="0E8321E7"/>
    <w:rsid w:val="0EE14D00"/>
    <w:rsid w:val="0F06219A"/>
    <w:rsid w:val="0F284931"/>
    <w:rsid w:val="0F2A645F"/>
    <w:rsid w:val="0F48525E"/>
    <w:rsid w:val="0FDF6CB2"/>
    <w:rsid w:val="105471E8"/>
    <w:rsid w:val="10A16DB1"/>
    <w:rsid w:val="10C257B5"/>
    <w:rsid w:val="10D434AF"/>
    <w:rsid w:val="1179543E"/>
    <w:rsid w:val="11821BE0"/>
    <w:rsid w:val="11FA7E34"/>
    <w:rsid w:val="12236466"/>
    <w:rsid w:val="130B7383"/>
    <w:rsid w:val="139B02B3"/>
    <w:rsid w:val="142529AD"/>
    <w:rsid w:val="144F1371"/>
    <w:rsid w:val="147F0D76"/>
    <w:rsid w:val="14B8504C"/>
    <w:rsid w:val="14C544A8"/>
    <w:rsid w:val="14EB59B8"/>
    <w:rsid w:val="150B0625"/>
    <w:rsid w:val="151B242E"/>
    <w:rsid w:val="1579737C"/>
    <w:rsid w:val="15A2005E"/>
    <w:rsid w:val="15B946C7"/>
    <w:rsid w:val="15F804EE"/>
    <w:rsid w:val="16276EC5"/>
    <w:rsid w:val="16410B97"/>
    <w:rsid w:val="166451AF"/>
    <w:rsid w:val="168F6CF4"/>
    <w:rsid w:val="16C17884"/>
    <w:rsid w:val="16FD5761"/>
    <w:rsid w:val="171E0DD6"/>
    <w:rsid w:val="17267395"/>
    <w:rsid w:val="17623083"/>
    <w:rsid w:val="179C1537"/>
    <w:rsid w:val="18DA5DE1"/>
    <w:rsid w:val="18DE2FB1"/>
    <w:rsid w:val="18F74035"/>
    <w:rsid w:val="19594402"/>
    <w:rsid w:val="196C5D0D"/>
    <w:rsid w:val="19971A1F"/>
    <w:rsid w:val="19B23DBC"/>
    <w:rsid w:val="19CC14DF"/>
    <w:rsid w:val="1A711C92"/>
    <w:rsid w:val="1AA53FF8"/>
    <w:rsid w:val="1ABC6799"/>
    <w:rsid w:val="1AF81D11"/>
    <w:rsid w:val="1B585EE6"/>
    <w:rsid w:val="1B66142A"/>
    <w:rsid w:val="1B872DA4"/>
    <w:rsid w:val="1B9768FF"/>
    <w:rsid w:val="1BA452D4"/>
    <w:rsid w:val="1BDC4F65"/>
    <w:rsid w:val="1C170993"/>
    <w:rsid w:val="1C272F2E"/>
    <w:rsid w:val="1C382884"/>
    <w:rsid w:val="1C401D60"/>
    <w:rsid w:val="1C4747EB"/>
    <w:rsid w:val="1C4B0594"/>
    <w:rsid w:val="1C6D61CE"/>
    <w:rsid w:val="1C871A38"/>
    <w:rsid w:val="1CD86F30"/>
    <w:rsid w:val="1CF473F4"/>
    <w:rsid w:val="1D24511D"/>
    <w:rsid w:val="1D6E62BB"/>
    <w:rsid w:val="1D6F2DEF"/>
    <w:rsid w:val="1DA44CA0"/>
    <w:rsid w:val="1DDD3DBF"/>
    <w:rsid w:val="1DE92239"/>
    <w:rsid w:val="1E0357FA"/>
    <w:rsid w:val="1E057760"/>
    <w:rsid w:val="1E1E0461"/>
    <w:rsid w:val="1E4C3573"/>
    <w:rsid w:val="1E9961A0"/>
    <w:rsid w:val="1E9C12D3"/>
    <w:rsid w:val="1E9C70F0"/>
    <w:rsid w:val="1EA226DE"/>
    <w:rsid w:val="1EB420A8"/>
    <w:rsid w:val="1EEF75C3"/>
    <w:rsid w:val="1FA547E6"/>
    <w:rsid w:val="1FB712F8"/>
    <w:rsid w:val="1FE2167D"/>
    <w:rsid w:val="1FF65967"/>
    <w:rsid w:val="202D3E86"/>
    <w:rsid w:val="203166AC"/>
    <w:rsid w:val="207B29D1"/>
    <w:rsid w:val="209E3E4A"/>
    <w:rsid w:val="20B36FBA"/>
    <w:rsid w:val="2131439D"/>
    <w:rsid w:val="21696FAA"/>
    <w:rsid w:val="219C09EA"/>
    <w:rsid w:val="21B35C0D"/>
    <w:rsid w:val="21B470CE"/>
    <w:rsid w:val="224F56C5"/>
    <w:rsid w:val="22A36140"/>
    <w:rsid w:val="22BC014D"/>
    <w:rsid w:val="22BD544B"/>
    <w:rsid w:val="23AD30D6"/>
    <w:rsid w:val="23F83184"/>
    <w:rsid w:val="240645CD"/>
    <w:rsid w:val="24527B67"/>
    <w:rsid w:val="245A5415"/>
    <w:rsid w:val="24610903"/>
    <w:rsid w:val="24BA455A"/>
    <w:rsid w:val="255B4177"/>
    <w:rsid w:val="2581456B"/>
    <w:rsid w:val="2584615A"/>
    <w:rsid w:val="259D4858"/>
    <w:rsid w:val="25F15C7A"/>
    <w:rsid w:val="26023D03"/>
    <w:rsid w:val="26601673"/>
    <w:rsid w:val="26D438AA"/>
    <w:rsid w:val="26DA3A82"/>
    <w:rsid w:val="26F53552"/>
    <w:rsid w:val="26F6287B"/>
    <w:rsid w:val="270825F3"/>
    <w:rsid w:val="27A133F1"/>
    <w:rsid w:val="27D9645B"/>
    <w:rsid w:val="283429E0"/>
    <w:rsid w:val="284816F9"/>
    <w:rsid w:val="2860457D"/>
    <w:rsid w:val="29063993"/>
    <w:rsid w:val="293B4851"/>
    <w:rsid w:val="29576282"/>
    <w:rsid w:val="29993CEE"/>
    <w:rsid w:val="29BE4F9C"/>
    <w:rsid w:val="29E34A90"/>
    <w:rsid w:val="2A0C3EEE"/>
    <w:rsid w:val="2A280B7B"/>
    <w:rsid w:val="2A3A1767"/>
    <w:rsid w:val="2A5E21BB"/>
    <w:rsid w:val="2AEB7D10"/>
    <w:rsid w:val="2B275A36"/>
    <w:rsid w:val="2B2D61A4"/>
    <w:rsid w:val="2B382359"/>
    <w:rsid w:val="2B861C88"/>
    <w:rsid w:val="2B900D00"/>
    <w:rsid w:val="2B99777B"/>
    <w:rsid w:val="2B9A6EB6"/>
    <w:rsid w:val="2BBA7F13"/>
    <w:rsid w:val="2BC82E55"/>
    <w:rsid w:val="2C3B6799"/>
    <w:rsid w:val="2CA835E4"/>
    <w:rsid w:val="2CD915BA"/>
    <w:rsid w:val="2D466139"/>
    <w:rsid w:val="2D971FAE"/>
    <w:rsid w:val="2DD1314A"/>
    <w:rsid w:val="2DFC780C"/>
    <w:rsid w:val="2E1347DD"/>
    <w:rsid w:val="2E30778E"/>
    <w:rsid w:val="2E4437D9"/>
    <w:rsid w:val="2E664F9F"/>
    <w:rsid w:val="2E6B7259"/>
    <w:rsid w:val="2E8A37F1"/>
    <w:rsid w:val="2EE66A4F"/>
    <w:rsid w:val="2EF7078A"/>
    <w:rsid w:val="2F2341ED"/>
    <w:rsid w:val="30296FA3"/>
    <w:rsid w:val="30342B25"/>
    <w:rsid w:val="30F6128F"/>
    <w:rsid w:val="314D1921"/>
    <w:rsid w:val="316108B2"/>
    <w:rsid w:val="324873FA"/>
    <w:rsid w:val="326C560D"/>
    <w:rsid w:val="327C76FA"/>
    <w:rsid w:val="33103370"/>
    <w:rsid w:val="335E234A"/>
    <w:rsid w:val="336C6EA3"/>
    <w:rsid w:val="33867CC5"/>
    <w:rsid w:val="33D52C44"/>
    <w:rsid w:val="340442EB"/>
    <w:rsid w:val="347B137E"/>
    <w:rsid w:val="348447CF"/>
    <w:rsid w:val="356D6672"/>
    <w:rsid w:val="359157BB"/>
    <w:rsid w:val="35925A4C"/>
    <w:rsid w:val="35A33D82"/>
    <w:rsid w:val="35CB781F"/>
    <w:rsid w:val="35E80F5F"/>
    <w:rsid w:val="35ED62E3"/>
    <w:rsid w:val="35F00B55"/>
    <w:rsid w:val="35F26396"/>
    <w:rsid w:val="35F7345E"/>
    <w:rsid w:val="36066F29"/>
    <w:rsid w:val="360E2923"/>
    <w:rsid w:val="36182DB6"/>
    <w:rsid w:val="365A7EFF"/>
    <w:rsid w:val="3681446A"/>
    <w:rsid w:val="36BF6734"/>
    <w:rsid w:val="36C54098"/>
    <w:rsid w:val="36E12437"/>
    <w:rsid w:val="37045310"/>
    <w:rsid w:val="3746579C"/>
    <w:rsid w:val="376269DA"/>
    <w:rsid w:val="37A874AB"/>
    <w:rsid w:val="37C43C82"/>
    <w:rsid w:val="38241789"/>
    <w:rsid w:val="382A72ED"/>
    <w:rsid w:val="384333D9"/>
    <w:rsid w:val="38512F93"/>
    <w:rsid w:val="385A324C"/>
    <w:rsid w:val="38972107"/>
    <w:rsid w:val="38BB0BB8"/>
    <w:rsid w:val="38F2374C"/>
    <w:rsid w:val="391E519B"/>
    <w:rsid w:val="39306C22"/>
    <w:rsid w:val="39393639"/>
    <w:rsid w:val="39627DAE"/>
    <w:rsid w:val="39856EE0"/>
    <w:rsid w:val="39DF42F1"/>
    <w:rsid w:val="3A4100D6"/>
    <w:rsid w:val="3A680FA6"/>
    <w:rsid w:val="3ABA3043"/>
    <w:rsid w:val="3B6745D7"/>
    <w:rsid w:val="3B88182B"/>
    <w:rsid w:val="3B994177"/>
    <w:rsid w:val="3BAA4343"/>
    <w:rsid w:val="3BFF79F8"/>
    <w:rsid w:val="3C2F24BD"/>
    <w:rsid w:val="3C510FDF"/>
    <w:rsid w:val="3C9238ED"/>
    <w:rsid w:val="3CCA4458"/>
    <w:rsid w:val="3CCF1A6B"/>
    <w:rsid w:val="3D3601EF"/>
    <w:rsid w:val="3D5F0D8E"/>
    <w:rsid w:val="3D927AFA"/>
    <w:rsid w:val="3D93671C"/>
    <w:rsid w:val="3D9912FF"/>
    <w:rsid w:val="3DB21648"/>
    <w:rsid w:val="3DE10FF8"/>
    <w:rsid w:val="3DF161BE"/>
    <w:rsid w:val="3E2C7CA3"/>
    <w:rsid w:val="3ECB60B2"/>
    <w:rsid w:val="3ED6196E"/>
    <w:rsid w:val="3EEE4B44"/>
    <w:rsid w:val="3F1B66E9"/>
    <w:rsid w:val="3F3C0AF7"/>
    <w:rsid w:val="3F623871"/>
    <w:rsid w:val="3FAA3636"/>
    <w:rsid w:val="3FCE162C"/>
    <w:rsid w:val="3FD95F90"/>
    <w:rsid w:val="3FDF00B1"/>
    <w:rsid w:val="3FEA5C21"/>
    <w:rsid w:val="3FEC58BB"/>
    <w:rsid w:val="40083688"/>
    <w:rsid w:val="40410F81"/>
    <w:rsid w:val="404F22D7"/>
    <w:rsid w:val="409904A5"/>
    <w:rsid w:val="40BE00BC"/>
    <w:rsid w:val="40CD6303"/>
    <w:rsid w:val="414F0575"/>
    <w:rsid w:val="41545792"/>
    <w:rsid w:val="41FE0750"/>
    <w:rsid w:val="420137C7"/>
    <w:rsid w:val="42056400"/>
    <w:rsid w:val="42413603"/>
    <w:rsid w:val="42491E57"/>
    <w:rsid w:val="42843747"/>
    <w:rsid w:val="42C316DA"/>
    <w:rsid w:val="42CC68E1"/>
    <w:rsid w:val="42DF7DFF"/>
    <w:rsid w:val="42EB45C1"/>
    <w:rsid w:val="42F427D6"/>
    <w:rsid w:val="434D0C17"/>
    <w:rsid w:val="445627BE"/>
    <w:rsid w:val="445F744E"/>
    <w:rsid w:val="449F08A5"/>
    <w:rsid w:val="45505CA2"/>
    <w:rsid w:val="456A103E"/>
    <w:rsid w:val="46281A20"/>
    <w:rsid w:val="463E248D"/>
    <w:rsid w:val="465A4268"/>
    <w:rsid w:val="46B41512"/>
    <w:rsid w:val="46B96195"/>
    <w:rsid w:val="46CE7401"/>
    <w:rsid w:val="46E04D8E"/>
    <w:rsid w:val="47041E67"/>
    <w:rsid w:val="471F282B"/>
    <w:rsid w:val="472B2A48"/>
    <w:rsid w:val="47345D4D"/>
    <w:rsid w:val="47461F57"/>
    <w:rsid w:val="47490F15"/>
    <w:rsid w:val="47816CF4"/>
    <w:rsid w:val="47A973A6"/>
    <w:rsid w:val="48021BB3"/>
    <w:rsid w:val="48DB08B9"/>
    <w:rsid w:val="492339D1"/>
    <w:rsid w:val="4927658B"/>
    <w:rsid w:val="49360C9A"/>
    <w:rsid w:val="49476CEB"/>
    <w:rsid w:val="49514751"/>
    <w:rsid w:val="499D07AC"/>
    <w:rsid w:val="4A1F72A1"/>
    <w:rsid w:val="4A544059"/>
    <w:rsid w:val="4A55718F"/>
    <w:rsid w:val="4A9057D8"/>
    <w:rsid w:val="4AFC2D50"/>
    <w:rsid w:val="4B311FFE"/>
    <w:rsid w:val="4B6B1920"/>
    <w:rsid w:val="4B7524CA"/>
    <w:rsid w:val="4B767FA3"/>
    <w:rsid w:val="4B85583B"/>
    <w:rsid w:val="4B972C05"/>
    <w:rsid w:val="4BF87D9F"/>
    <w:rsid w:val="4C166CE2"/>
    <w:rsid w:val="4C4A6435"/>
    <w:rsid w:val="4C4C68F7"/>
    <w:rsid w:val="4C6E0875"/>
    <w:rsid w:val="4CA057A6"/>
    <w:rsid w:val="4CAE7BB8"/>
    <w:rsid w:val="4CB2316E"/>
    <w:rsid w:val="4CB558D0"/>
    <w:rsid w:val="4CD06A16"/>
    <w:rsid w:val="4CE35245"/>
    <w:rsid w:val="4CE37E7C"/>
    <w:rsid w:val="4D0105FB"/>
    <w:rsid w:val="4D574E12"/>
    <w:rsid w:val="4D6C0AAB"/>
    <w:rsid w:val="4D7642E1"/>
    <w:rsid w:val="4D7713C5"/>
    <w:rsid w:val="4E327181"/>
    <w:rsid w:val="4EA27C79"/>
    <w:rsid w:val="4EF02CA6"/>
    <w:rsid w:val="4F504945"/>
    <w:rsid w:val="4F6C67E0"/>
    <w:rsid w:val="50286FF7"/>
    <w:rsid w:val="504764E7"/>
    <w:rsid w:val="50EB4758"/>
    <w:rsid w:val="50F223E0"/>
    <w:rsid w:val="513B2B55"/>
    <w:rsid w:val="51683726"/>
    <w:rsid w:val="51690EC1"/>
    <w:rsid w:val="51A472B6"/>
    <w:rsid w:val="523A517B"/>
    <w:rsid w:val="524B29DA"/>
    <w:rsid w:val="52A92D81"/>
    <w:rsid w:val="52E461A6"/>
    <w:rsid w:val="53036CCB"/>
    <w:rsid w:val="533A2F94"/>
    <w:rsid w:val="53456AC4"/>
    <w:rsid w:val="536F03B5"/>
    <w:rsid w:val="53B6373B"/>
    <w:rsid w:val="53F02783"/>
    <w:rsid w:val="541C4A00"/>
    <w:rsid w:val="543C11D4"/>
    <w:rsid w:val="54517577"/>
    <w:rsid w:val="54AC03FE"/>
    <w:rsid w:val="54D12D1C"/>
    <w:rsid w:val="54F61E68"/>
    <w:rsid w:val="54FB3594"/>
    <w:rsid w:val="557F2350"/>
    <w:rsid w:val="55EC5AF3"/>
    <w:rsid w:val="55FA60EA"/>
    <w:rsid w:val="560E2A5E"/>
    <w:rsid w:val="565B6806"/>
    <w:rsid w:val="56C8515D"/>
    <w:rsid w:val="56DA53A8"/>
    <w:rsid w:val="56FF03A9"/>
    <w:rsid w:val="57111B8D"/>
    <w:rsid w:val="571F0AF5"/>
    <w:rsid w:val="57973960"/>
    <w:rsid w:val="57AA6A5E"/>
    <w:rsid w:val="580B4523"/>
    <w:rsid w:val="58610AAC"/>
    <w:rsid w:val="58656A3B"/>
    <w:rsid w:val="58684E48"/>
    <w:rsid w:val="58791022"/>
    <w:rsid w:val="592D42FA"/>
    <w:rsid w:val="595A1A97"/>
    <w:rsid w:val="5A115C21"/>
    <w:rsid w:val="5A3F06E7"/>
    <w:rsid w:val="5A462C73"/>
    <w:rsid w:val="5ADC46E5"/>
    <w:rsid w:val="5AEF44A1"/>
    <w:rsid w:val="5B0F3E7E"/>
    <w:rsid w:val="5C4541F2"/>
    <w:rsid w:val="5C8D71E5"/>
    <w:rsid w:val="5CBB670E"/>
    <w:rsid w:val="5CDD2642"/>
    <w:rsid w:val="5D0D4780"/>
    <w:rsid w:val="5D513064"/>
    <w:rsid w:val="5D61302E"/>
    <w:rsid w:val="5D6A7AD9"/>
    <w:rsid w:val="5D816A62"/>
    <w:rsid w:val="5D8222D6"/>
    <w:rsid w:val="5DC149BA"/>
    <w:rsid w:val="5DC8654B"/>
    <w:rsid w:val="5E03188C"/>
    <w:rsid w:val="5E533FBE"/>
    <w:rsid w:val="5E602B9A"/>
    <w:rsid w:val="5E606E34"/>
    <w:rsid w:val="5E8D2EB2"/>
    <w:rsid w:val="5EB408CE"/>
    <w:rsid w:val="5EC12295"/>
    <w:rsid w:val="5EF15F3F"/>
    <w:rsid w:val="5F23461E"/>
    <w:rsid w:val="5F680E9D"/>
    <w:rsid w:val="5F78098A"/>
    <w:rsid w:val="5F9B5B6A"/>
    <w:rsid w:val="5FEE072A"/>
    <w:rsid w:val="60054A9E"/>
    <w:rsid w:val="6017674D"/>
    <w:rsid w:val="602E4AB8"/>
    <w:rsid w:val="609B5B92"/>
    <w:rsid w:val="60A02906"/>
    <w:rsid w:val="60A831E8"/>
    <w:rsid w:val="60F34E8C"/>
    <w:rsid w:val="61BC3D37"/>
    <w:rsid w:val="61E07FD2"/>
    <w:rsid w:val="61F32A89"/>
    <w:rsid w:val="625D1448"/>
    <w:rsid w:val="62A556D2"/>
    <w:rsid w:val="62C82A2C"/>
    <w:rsid w:val="62D2559B"/>
    <w:rsid w:val="635E4C32"/>
    <w:rsid w:val="63857C61"/>
    <w:rsid w:val="639962CA"/>
    <w:rsid w:val="63BC5875"/>
    <w:rsid w:val="63C405FB"/>
    <w:rsid w:val="63FF1EA7"/>
    <w:rsid w:val="64322A73"/>
    <w:rsid w:val="6479221E"/>
    <w:rsid w:val="649D6179"/>
    <w:rsid w:val="64E560D8"/>
    <w:rsid w:val="64F17EC6"/>
    <w:rsid w:val="652F2A99"/>
    <w:rsid w:val="653D6FBD"/>
    <w:rsid w:val="65456DD4"/>
    <w:rsid w:val="65623E7F"/>
    <w:rsid w:val="658E44A6"/>
    <w:rsid w:val="65A53345"/>
    <w:rsid w:val="65A54D61"/>
    <w:rsid w:val="666D6AC0"/>
    <w:rsid w:val="668A3D9C"/>
    <w:rsid w:val="669B2CDE"/>
    <w:rsid w:val="66C52647"/>
    <w:rsid w:val="670E7F35"/>
    <w:rsid w:val="671A6F15"/>
    <w:rsid w:val="672030D2"/>
    <w:rsid w:val="67743390"/>
    <w:rsid w:val="67DC3D19"/>
    <w:rsid w:val="682E1792"/>
    <w:rsid w:val="68322492"/>
    <w:rsid w:val="688242A5"/>
    <w:rsid w:val="68B96722"/>
    <w:rsid w:val="68C8243B"/>
    <w:rsid w:val="692311A8"/>
    <w:rsid w:val="69434333"/>
    <w:rsid w:val="69910F3F"/>
    <w:rsid w:val="69D90FE5"/>
    <w:rsid w:val="69E70FA6"/>
    <w:rsid w:val="69F17B94"/>
    <w:rsid w:val="6A1E67B3"/>
    <w:rsid w:val="6A650C79"/>
    <w:rsid w:val="6A662EBF"/>
    <w:rsid w:val="6A8934DE"/>
    <w:rsid w:val="6AA56BE1"/>
    <w:rsid w:val="6AB20B7E"/>
    <w:rsid w:val="6AE74482"/>
    <w:rsid w:val="6B893C35"/>
    <w:rsid w:val="6B977288"/>
    <w:rsid w:val="6BEE463A"/>
    <w:rsid w:val="6C1017A5"/>
    <w:rsid w:val="6C6D7F56"/>
    <w:rsid w:val="6C855D1D"/>
    <w:rsid w:val="6C8713F8"/>
    <w:rsid w:val="6C8D37B0"/>
    <w:rsid w:val="6C9848F5"/>
    <w:rsid w:val="6CC06D2D"/>
    <w:rsid w:val="6CDE1BCA"/>
    <w:rsid w:val="6D281474"/>
    <w:rsid w:val="6D3726F3"/>
    <w:rsid w:val="6D673227"/>
    <w:rsid w:val="6D9E5520"/>
    <w:rsid w:val="6DD313A6"/>
    <w:rsid w:val="6DEC48C9"/>
    <w:rsid w:val="6E0A5DA6"/>
    <w:rsid w:val="6E1E6CF0"/>
    <w:rsid w:val="6E2A49F6"/>
    <w:rsid w:val="6E9A20D8"/>
    <w:rsid w:val="6EEC25C8"/>
    <w:rsid w:val="6F4D0F65"/>
    <w:rsid w:val="6FCE308D"/>
    <w:rsid w:val="700C4F97"/>
    <w:rsid w:val="70537876"/>
    <w:rsid w:val="709538BA"/>
    <w:rsid w:val="70B214C2"/>
    <w:rsid w:val="70D0360C"/>
    <w:rsid w:val="70FA71D7"/>
    <w:rsid w:val="71186560"/>
    <w:rsid w:val="71186741"/>
    <w:rsid w:val="7142142B"/>
    <w:rsid w:val="71A12D9E"/>
    <w:rsid w:val="71B85CFC"/>
    <w:rsid w:val="71D10158"/>
    <w:rsid w:val="720473DB"/>
    <w:rsid w:val="720F27F8"/>
    <w:rsid w:val="72856F70"/>
    <w:rsid w:val="72927F5F"/>
    <w:rsid w:val="731260B1"/>
    <w:rsid w:val="73311A12"/>
    <w:rsid w:val="736A6BA8"/>
    <w:rsid w:val="73871A8C"/>
    <w:rsid w:val="73945741"/>
    <w:rsid w:val="739C52D2"/>
    <w:rsid w:val="73AB0480"/>
    <w:rsid w:val="73E75FA8"/>
    <w:rsid w:val="73F14C3F"/>
    <w:rsid w:val="74263BA5"/>
    <w:rsid w:val="74AD2C47"/>
    <w:rsid w:val="74B8216F"/>
    <w:rsid w:val="75516FBF"/>
    <w:rsid w:val="75703559"/>
    <w:rsid w:val="75A83F2A"/>
    <w:rsid w:val="75CC116C"/>
    <w:rsid w:val="75DD162E"/>
    <w:rsid w:val="75FC4FEC"/>
    <w:rsid w:val="76997F72"/>
    <w:rsid w:val="76D642F3"/>
    <w:rsid w:val="77616765"/>
    <w:rsid w:val="777D1EFE"/>
    <w:rsid w:val="778266E5"/>
    <w:rsid w:val="779655C3"/>
    <w:rsid w:val="77C5013F"/>
    <w:rsid w:val="77E465EE"/>
    <w:rsid w:val="78623117"/>
    <w:rsid w:val="787F4360"/>
    <w:rsid w:val="78A848AE"/>
    <w:rsid w:val="78B24B0C"/>
    <w:rsid w:val="78E375B8"/>
    <w:rsid w:val="792C0BA9"/>
    <w:rsid w:val="796B14C9"/>
    <w:rsid w:val="798F5723"/>
    <w:rsid w:val="7A4A186E"/>
    <w:rsid w:val="7A4F7F8A"/>
    <w:rsid w:val="7AE349BA"/>
    <w:rsid w:val="7B0757D4"/>
    <w:rsid w:val="7B1D2D4F"/>
    <w:rsid w:val="7B4219FA"/>
    <w:rsid w:val="7B590F68"/>
    <w:rsid w:val="7B6539BF"/>
    <w:rsid w:val="7B6F02B9"/>
    <w:rsid w:val="7B7013E2"/>
    <w:rsid w:val="7C2E6162"/>
    <w:rsid w:val="7C58760F"/>
    <w:rsid w:val="7C5D6AA0"/>
    <w:rsid w:val="7CB85F12"/>
    <w:rsid w:val="7D0077DC"/>
    <w:rsid w:val="7D467E73"/>
    <w:rsid w:val="7D752A06"/>
    <w:rsid w:val="7DB512E1"/>
    <w:rsid w:val="7DBB04FE"/>
    <w:rsid w:val="7E2D6AE0"/>
    <w:rsid w:val="7E304553"/>
    <w:rsid w:val="7E7A12A4"/>
    <w:rsid w:val="7E973D2C"/>
    <w:rsid w:val="7EE23584"/>
    <w:rsid w:val="7F352EC3"/>
    <w:rsid w:val="7F5B3EAD"/>
    <w:rsid w:val="7F6F58F7"/>
    <w:rsid w:val="7FA0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87">
    <w:name w:val="PL Char"/>
    <w:link w:val="64"/>
    <w:qFormat/>
    <w:uiPriority w:val="0"/>
    <w:rPr>
      <w:rFonts w:ascii="Courier New" w:hAnsi="Courier New" w:eastAsia="Times New Roman" w:cs="Times New Roman"/>
      <w:sz w:val="1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38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2020-04-10T01:50:17Z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